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Dategrp-13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защитника </w:t>
      </w:r>
      <w:r>
        <w:rPr>
          <w:rStyle w:val="cat-UserDefinedgrp-40rplc-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Ивановны, </w:t>
      </w:r>
      <w:r>
        <w:rPr>
          <w:rStyle w:val="cat-UserDefinedgrp-4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Крутякова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заведующей </w:t>
      </w:r>
      <w:r>
        <w:rPr>
          <w:rStyle w:val="cat-UserDefinedgrp-4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 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о застрахованных лицах по форме СЗВ-СТАЖ за </w:t>
      </w:r>
      <w:r>
        <w:rPr>
          <w:rStyle w:val="cat-Dategrp-14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несоответствие представленных форм СЗВ-М. </w:t>
      </w:r>
      <w:r>
        <w:rPr>
          <w:rStyle w:val="cat-Dategrp-15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страхователю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направлено уведомление об устранении в течении пяти рабочих дней ошибок и (или) несоответствии между представленными страхователем сведений и сведениями, имеющимися у территориальный орган фонда Пенсионного и Социального страхования Российской Федерации с приложением протокола ошибок. В установленный срок до </w:t>
      </w:r>
      <w:r>
        <w:rPr>
          <w:rStyle w:val="cat-Dategrp-16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исправленные сведения в территориальный орган фонда Пенсионного и Социального страхования Российской Федерации не были представлены,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нарушены установленные сроки, предусмотренные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2.2 ст. 11 Федерального Закона от </w:t>
      </w:r>
      <w:r>
        <w:rPr>
          <w:rStyle w:val="cat-Dategrp-17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Крутякова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 </w:t>
      </w:r>
      <w:r>
        <w:rPr>
          <w:rStyle w:val="cat-UserDefinedgrp-43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просила заменить административное наказание в виде штрафа на предупреждение на основании ч. 1 ст. 4.1.1 КоАП РФ либо освободить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от административной ответственности в связи с малозначительностью деяния на основании ст. 2.9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11585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8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2 ст. 11 Федерального Закона от </w:t>
      </w:r>
      <w:r>
        <w:rPr>
          <w:rStyle w:val="cat-Dategrp-17rplc-3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 «Об индивидуальном (персонифицированном) учете в системе обязательного пенсионного страхования» (с изменениями и дополнениями),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страхователь ежегодно не позднее </w:t>
      </w:r>
      <w:r>
        <w:rPr>
          <w:rStyle w:val="cat-Dategrp-19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страховые взносы) следующие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: страховой номер индивидуального лицевого счета;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фамилию, имя и отчество;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приема на работу (для </w:t>
      </w:r>
      <w:hyperlink w:anchor="sub_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застрахованного лица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периоды деятельности, включаемые в стаж на соответствующих видах работ, определяемый особыми условиями труда, работой в </w:t>
      </w:r>
      <w:r>
        <w:rPr>
          <w:rStyle w:val="cat-Addressgrp-5rplc-3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приравненных к ним местностях;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другие сведения, необходимые для правильного назначения страховой пенсии и накопительной пенсии;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ст.17 того же Федерального закона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6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eastAsia="Times New Roman" w:hAnsi="Times New Roman" w:cs="Times New Roman"/>
          <w:sz w:val="26"/>
          <w:szCs w:val="26"/>
        </w:rPr>
        <w:t>малозначительност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ью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ст. 2.9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КоАП РФ при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малозначительности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положениями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статьи 2.9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при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малозначительности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совершенного административного правонарушения судья может освободить лицо, совершившее административное правонарушение, от административной ответственности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ограничиться устным замечанием.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буквального толкования данной нормы следует, что применение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статьи 2.9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при рассмотрении дел об административном правонарушении является правом, а не обязанностью суда.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указывающих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малозначительност</w:t>
      </w:r>
      <w:r>
        <w:rPr>
          <w:rFonts w:ascii="Times New Roman" w:eastAsia="Times New Roman" w:hAnsi="Times New Roman" w:cs="Times New Roman"/>
          <w:sz w:val="26"/>
          <w:szCs w:val="26"/>
        </w:rPr>
        <w:t>ь с</w:t>
      </w:r>
      <w:r>
        <w:rPr>
          <w:rFonts w:ascii="Times New Roman" w:eastAsia="Times New Roman" w:hAnsi="Times New Roman" w:cs="Times New Roman"/>
          <w:sz w:val="26"/>
          <w:szCs w:val="26"/>
        </w:rPr>
        <w:t>овершенного правонарушения, из материалов дела не усматривается.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Само по себе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привлечение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не является основанием для признания совершенного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малозначительным.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1 ст. 4.1.1 КоАП РФ з</w:t>
      </w:r>
      <w:r>
        <w:rPr>
          <w:rFonts w:ascii="Times New Roman" w:eastAsia="Times New Roman" w:hAnsi="Times New Roman" w:cs="Times New Roman"/>
          <w:sz w:val="26"/>
          <w:szCs w:val="26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раздела II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частью 2 статьи 3.4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случаев,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частью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2 ст. 3.4 КоАП РФ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</w:t>
      </w:r>
      <w:r>
        <w:rPr>
          <w:rFonts w:ascii="Times New Roman" w:eastAsia="Times New Roman" w:hAnsi="Times New Roman" w:cs="Times New Roman"/>
          <w:sz w:val="26"/>
          <w:szCs w:val="26"/>
        </w:rPr>
        <w:t>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нализ взаимосвязанных положений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2125267/entry/34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2 статьи 3.4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2125267/entry/41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 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4.1.1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КоАП РФ, применительно к обстоятельствам настоящего дела, не позволяет сделать вывод о наличии оснований для замены административного штрафа на предупреждение. В данном случае, вопреки положениям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2125267/entry/34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2 статьи 3.4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КоАП РФ, возникает угроза причинения вреда неопределенному кругу лиц, которая в данном случае заключается не в наступлении каких-либо материальных последствий от совершенного правонарушения, а в пренебрежительном отношении субъекта ответственности к порядку подачи сведений на застрахованных лиц, установленного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0106192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20rplc-3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27-ФЗ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оснований для применения </w:t>
      </w:r>
      <w:r>
        <w:rPr>
          <w:rFonts w:ascii="Times New Roman" w:eastAsia="Times New Roman" w:hAnsi="Times New Roman" w:cs="Times New Roman"/>
          <w:sz w:val="26"/>
          <w:szCs w:val="26"/>
        </w:rPr>
        <w:t>ч. 1 ст. 4.1.1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Крутякову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30rplc-3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6rplc-3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8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9rplc-4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7rplc-4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3rplc-4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4rplc-4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5rplc-4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4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6rplc-4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10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79711601230060001140 - уплата штрафа по административному правонарушению,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79702700000000033110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2rplc-4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1rplc-5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1rplc-5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3rplc-1">
    <w:name w:val="cat-Date grp-13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0rplc-6">
    <w:name w:val="cat-UserDefined grp-40 rplc-6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Dategrp-14rplc-18">
    <w:name w:val="cat-Date grp-14 rplc-18"/>
    <w:basedOn w:val="DefaultParagraphFont"/>
  </w:style>
  <w:style w:type="character" w:customStyle="1" w:styleId="cat-Dategrp-15rplc-19">
    <w:name w:val="cat-Date grp-15 rplc-19"/>
    <w:basedOn w:val="DefaultParagraphFont"/>
  </w:style>
  <w:style w:type="character" w:customStyle="1" w:styleId="cat-Dategrp-16rplc-20">
    <w:name w:val="cat-Date grp-16 rplc-20"/>
    <w:basedOn w:val="DefaultParagraphFont"/>
  </w:style>
  <w:style w:type="character" w:customStyle="1" w:styleId="cat-Dategrp-17rplc-21">
    <w:name w:val="cat-Date grp-17 rplc-21"/>
    <w:basedOn w:val="DefaultParagraphFont"/>
  </w:style>
  <w:style w:type="character" w:customStyle="1" w:styleId="cat-UserDefinedgrp-43rplc-24">
    <w:name w:val="cat-UserDefined grp-43 rplc-24"/>
    <w:basedOn w:val="DefaultParagraphFont"/>
  </w:style>
  <w:style w:type="character" w:customStyle="1" w:styleId="cat-Dategrp-18rplc-28">
    <w:name w:val="cat-Date grp-18 rplc-28"/>
    <w:basedOn w:val="DefaultParagraphFont"/>
  </w:style>
  <w:style w:type="character" w:customStyle="1" w:styleId="cat-Dategrp-17rplc-30">
    <w:name w:val="cat-Date grp-17 rplc-30"/>
    <w:basedOn w:val="DefaultParagraphFont"/>
  </w:style>
  <w:style w:type="character" w:customStyle="1" w:styleId="cat-Dategrp-19rplc-31">
    <w:name w:val="cat-Date grp-19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Dategrp-20rplc-35">
    <w:name w:val="cat-Date grp-20 rplc-35"/>
    <w:basedOn w:val="DefaultParagraphFont"/>
  </w:style>
  <w:style w:type="character" w:customStyle="1" w:styleId="cat-Sumgrp-30rplc-37">
    <w:name w:val="cat-Sum grp-30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Addressgrp-9rplc-41">
    <w:name w:val="cat-Address grp-9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PhoneNumbergrp-33rplc-43">
    <w:name w:val="cat-PhoneNumber grp-33 rplc-43"/>
    <w:basedOn w:val="DefaultParagraphFont"/>
  </w:style>
  <w:style w:type="character" w:customStyle="1" w:styleId="cat-PhoneNumbergrp-34rplc-44">
    <w:name w:val="cat-PhoneNumber grp-34 rplc-44"/>
    <w:basedOn w:val="DefaultParagraphFont"/>
  </w:style>
  <w:style w:type="character" w:customStyle="1" w:styleId="cat-PhoneNumbergrp-35rplc-45">
    <w:name w:val="cat-PhoneNumber grp-35 rplc-45"/>
    <w:basedOn w:val="DefaultParagraphFont"/>
  </w:style>
  <w:style w:type="character" w:customStyle="1" w:styleId="cat-Addressgrp-0rplc-46">
    <w:name w:val="cat-Address grp-0 rplc-46"/>
    <w:basedOn w:val="DefaultParagraphFont"/>
  </w:style>
  <w:style w:type="character" w:customStyle="1" w:styleId="cat-PhoneNumbergrp-36rplc-47">
    <w:name w:val="cat-PhoneNumber grp-36 rplc-47"/>
    <w:basedOn w:val="DefaultParagraphFont"/>
  </w:style>
  <w:style w:type="character" w:customStyle="1" w:styleId="cat-Addressgrp-10rplc-48">
    <w:name w:val="cat-Address grp-10 rplc-48"/>
    <w:basedOn w:val="DefaultParagraphFont"/>
  </w:style>
  <w:style w:type="character" w:customStyle="1" w:styleId="cat-Addressgrp-12rplc-49">
    <w:name w:val="cat-Address grp-12 rplc-49"/>
    <w:basedOn w:val="DefaultParagraphFont"/>
  </w:style>
  <w:style w:type="character" w:customStyle="1" w:styleId="cat-Addressgrp-11rplc-50">
    <w:name w:val="cat-Address grp-11 rplc-50"/>
    <w:basedOn w:val="DefaultParagraphFont"/>
  </w:style>
  <w:style w:type="character" w:customStyle="1" w:styleId="cat-Dategrp-21rplc-53">
    <w:name w:val="cat-Date grp-21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2034164.1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arbitr.garant.ru/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